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1D86C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firstLine="450"/>
        <w:jc w:val="left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30"/>
          <w:sz w:val="24"/>
          <w:szCs w:val="24"/>
        </w:rPr>
        <w:t>附件1：报价一览表及报价明细表</w:t>
      </w:r>
    </w:p>
    <w:p w14:paraId="3618F0F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 </w:t>
      </w:r>
    </w:p>
    <w:p w14:paraId="3F96C048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tLeast"/>
        <w:ind w:left="0" w:leftChars="0" w:right="0" w:firstLine="0" w:firstLineChars="0"/>
        <w:jc w:val="center"/>
        <w:textAlignment w:val="auto"/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3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30"/>
          <w:sz w:val="24"/>
          <w:szCs w:val="24"/>
        </w:rPr>
        <w:t>报价一览表</w:t>
      </w:r>
    </w:p>
    <w:tbl>
      <w:tblPr>
        <w:tblStyle w:val="5"/>
        <w:tblW w:w="8559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705"/>
        <w:gridCol w:w="3765"/>
        <w:gridCol w:w="1089"/>
      </w:tblGrid>
      <w:tr w14:paraId="648C4BB0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370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F04AB1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名称</w:t>
            </w:r>
          </w:p>
        </w:tc>
        <w:tc>
          <w:tcPr>
            <w:tcW w:w="376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7CDD5E8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报价总价（元）</w:t>
            </w:r>
          </w:p>
        </w:tc>
        <w:tc>
          <w:tcPr>
            <w:tcW w:w="0" w:type="auto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A05E854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备注</w:t>
            </w:r>
          </w:p>
        </w:tc>
      </w:tr>
      <w:tr w14:paraId="1D4C1CCE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9" w:hRule="atLeast"/>
        </w:trPr>
        <w:tc>
          <w:tcPr>
            <w:tcW w:w="370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2B851A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eastAsia="zh-CN"/>
              </w:rPr>
              <w:t>韶关市医疗保障局按病种分值付费2.0版改革服务采购项目</w:t>
            </w:r>
          </w:p>
        </w:tc>
        <w:tc>
          <w:tcPr>
            <w:tcW w:w="376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0B51315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小写：</w:t>
            </w:r>
          </w:p>
          <w:p w14:paraId="3805422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大写：</w:t>
            </w:r>
          </w:p>
        </w:tc>
        <w:tc>
          <w:tcPr>
            <w:tcW w:w="0" w:type="auto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5CE1D1CB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</w:p>
        </w:tc>
      </w:tr>
    </w:tbl>
    <w:p w14:paraId="6B3074C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 </w:t>
      </w:r>
    </w:p>
    <w:p w14:paraId="0E5C74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 </w:t>
      </w:r>
    </w:p>
    <w:p w14:paraId="251CE625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7" w:afterLines="50" w:afterAutospacing="0" w:line="360" w:lineRule="atLeast"/>
        <w:ind w:left="0" w:leftChars="0" w:right="0" w:firstLine="0" w:firstLineChars="0"/>
        <w:jc w:val="center"/>
        <w:textAlignment w:val="auto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4"/>
          <w:szCs w:val="24"/>
          <w:shd w:val="clear" w:fill="FFFFFF"/>
        </w:rPr>
        <w:t> 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000000"/>
          <w:spacing w:val="30"/>
          <w:sz w:val="24"/>
          <w:szCs w:val="24"/>
        </w:rPr>
        <w:t>报价明细表</w:t>
      </w:r>
    </w:p>
    <w:tbl>
      <w:tblPr>
        <w:tblStyle w:val="5"/>
        <w:tblW w:w="8739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5"/>
        <w:gridCol w:w="7564"/>
      </w:tblGrid>
      <w:tr w14:paraId="582F35FC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9" w:hRule="atLeas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0F99F7D8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服务</w:t>
            </w:r>
          </w:p>
          <w:p w14:paraId="008907E9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内容</w:t>
            </w:r>
          </w:p>
        </w:tc>
        <w:tc>
          <w:tcPr>
            <w:tcW w:w="7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C24A5AD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42" w:leftChars="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0" w:name="_Toc187765942"/>
            <w:bookmarkStart w:id="1" w:name="_Toc181797902"/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一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DIP付费宣传培训服务</w:t>
            </w:r>
            <w:bookmarkEnd w:id="0"/>
            <w:bookmarkEnd w:id="1"/>
          </w:p>
          <w:p w14:paraId="7011DCA8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采取多种形式开展行业政策的宣传工作，积极调动各方推进支付方式改革工作的积极性；针对DIP付费业务的开展，采取多种渠道对专家团队、医保经办、医院团队进行培训。主要包括DIP付费业务培训、宣传在内的两类服务。</w:t>
            </w:r>
          </w:p>
          <w:p w14:paraId="125D0C7E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2" w:name="_Toc187765943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DIP付费业务宣传服务</w:t>
            </w:r>
            <w:bookmarkEnd w:id="2"/>
          </w:p>
          <w:p w14:paraId="43FC865C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协助开展医院的申报、评选工作，配合组织宣传培训，协助宣传支付方式改革的进展和成效，争取社会各方的理解和支持。</w:t>
            </w:r>
          </w:p>
          <w:p w14:paraId="1FDEA041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将会采取多种形式开展行业政策的宣传工作，积极调动各方推进支付方式改革工作的积极性。基于地市的DIP实施内容，在不同阶段进行经验总结，加大宣传和影响力度，及时宣布支付方式改革进程和成效，向社会公开医保相关政策以及惠民、利民措施，争取社会各层面的理解和搭理支持，同时也需要向医疗机构、医生宣传和推广，发挥医务人员积极性，为DIP支付改革夯实基础。</w:t>
            </w:r>
          </w:p>
          <w:p w14:paraId="1C58875F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包含但不限于：</w:t>
            </w:r>
          </w:p>
          <w:p w14:paraId="150CE3E5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对外沟通、汇报材料；</w:t>
            </w:r>
          </w:p>
          <w:p w14:paraId="30CC43D1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支付方式改革进展和成效宣传材料；</w:t>
            </w:r>
          </w:p>
          <w:p w14:paraId="02FEBD17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借鉴各地实施经验，协助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应对国家、省级等各项DIP相关汇报、交流等，以及本地市面向社会的改革宣传等工作</w:t>
            </w:r>
          </w:p>
          <w:p w14:paraId="41A1EBBE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3" w:name="_Toc187765944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 付费业务培训服务</w:t>
            </w:r>
            <w:bookmarkEnd w:id="3"/>
          </w:p>
          <w:p w14:paraId="75DF7AB9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针对DIP付费业务的开展，将会采取多种渠道对专家团队、医保经办、医院团队进行培训。培训DIP付费业务培训内容包含但不限于支付方式改革理论和政策，DIP业务培训、数据质量提升培训等。同时协助培养本地专家培训团队。</w:t>
            </w:r>
          </w:p>
          <w:p w14:paraId="54E84AAF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培训内容包含如下：</w:t>
            </w:r>
          </w:p>
          <w:p w14:paraId="5E906B53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trike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DIP基础知识培训</w:t>
            </w:r>
          </w:p>
          <w:p w14:paraId="2DC22216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本地结算办法政策解读</w:t>
            </w:r>
          </w:p>
          <w:p w14:paraId="4E0EF5BE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结算清单规范填写</w:t>
            </w:r>
          </w:p>
          <w:p w14:paraId="1F5F09DF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trike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DIP支付方式改革核心要素培训</w:t>
            </w:r>
          </w:p>
          <w:p w14:paraId="42F41F42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支付方式改革下医疗机构应对措施</w:t>
            </w:r>
          </w:p>
          <w:p w14:paraId="7686B49E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医院运行分析讲解</w:t>
            </w:r>
          </w:p>
          <w:p w14:paraId="306F9D06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可使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、医保经办及医疗机构等相关人员充分了解DIP改革相关业务知识，可快速适应DIP付费医保相关工作，提升医院医保结算清单等质量。同时，借鉴各地实施经验，不断优化培训方式与内容。</w:t>
            </w:r>
          </w:p>
          <w:p w14:paraId="4E4B121E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42" w:leftChars="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4" w:name="_Toc181797903"/>
            <w:bookmarkStart w:id="5" w:name="_Toc187765945"/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二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政策调整及完善服务</w:t>
            </w:r>
            <w:bookmarkEnd w:id="4"/>
            <w:bookmarkEnd w:id="5"/>
          </w:p>
          <w:p w14:paraId="2DD2297B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协助调整及完善DIP付费支付政策，DIP配套政策是开展DIP改革工作的核心，依据丰富的项目经验协助医保局完善、优化各项政策，促进DIP付费工作顺利落地、开展。让数据分析赋能政策制定更合理。</w:t>
            </w:r>
          </w:p>
          <w:p w14:paraId="2E87BD2B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包括但不限于根据国家、省DIP最新政策、地市实际情况，协助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调整及完善DIP相关政策；协助医保局组织专家组对调整的政策文件进行论证；协助完成本地医保局DIP政策文件汇编；本地政策培训相关材料的编制。</w:t>
            </w:r>
          </w:p>
          <w:p w14:paraId="79ECD0DA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6" w:name="_Toc187765946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支付政策调整及完善服务</w:t>
            </w:r>
            <w:bookmarkEnd w:id="6"/>
          </w:p>
          <w:p w14:paraId="00DA39F7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依据国家及省级DIP最新政策精神，紧密结合地市实际运行情况，协助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精准调整并细致完善DIP相关配套政策（包括但不限于《DIP付费实施办法》、《DIP付费经办规程》、《DIP结算办法》、《DIP监督考核办法》等）的修订调整。通过深入的政策解读、扎实的实地调研、详实的数据分析，确保政策调整既符合上级要求，又贴合地方实际，从而有效提升DIP付费机制的适应性和实效性。</w:t>
            </w:r>
          </w:p>
          <w:p w14:paraId="767E75E4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7" w:name="_Toc187765947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协助组织专家组论证服务</w:t>
            </w:r>
            <w:bookmarkEnd w:id="7"/>
          </w:p>
          <w:p w14:paraId="60386132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采购人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组建本地专家团队，包括医保、临床、医务、统计、信息、病案、财务等领域的专家工作组，参与制定DIP的实施政策、路径和规范，并对试运行情况进行评估，提出改进性意见和建议。</w:t>
            </w:r>
          </w:p>
          <w:p w14:paraId="53F69DF4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8" w:name="_Toc187765948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DIP政策文件汇编服务</w:t>
            </w:r>
            <w:bookmarkEnd w:id="8"/>
          </w:p>
          <w:p w14:paraId="1B868EE0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协助完成本地医保局DIP政策文件</w:t>
            </w:r>
            <w:bookmarkStart w:id="24" w:name="_GoBack"/>
            <w:bookmarkEnd w:id="24"/>
            <w:r>
              <w:rPr>
                <w:rFonts w:hint="eastAsia" w:ascii="宋体" w:hAnsi="宋体" w:eastAsia="宋体" w:cs="宋体"/>
                <w:sz w:val="21"/>
                <w:szCs w:val="21"/>
              </w:rPr>
              <w:t>汇编；完成本地政策培训相关材料的编制。结合本地实际情况，及时制定出相应付费解决方案。协助医保管理部门完成对各医疗机构的相关政策公示与传达工作。确保经办机构与医疗机构对支付政策的高度理解。</w:t>
            </w:r>
          </w:p>
          <w:p w14:paraId="438E42B9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9" w:name="_Toc187765949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政策培训材料编制服务</w:t>
            </w:r>
            <w:bookmarkEnd w:id="9"/>
          </w:p>
          <w:p w14:paraId="72818F59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提供本地政策培训相关材料编制服务，确保内容精准提炼、结构优化清晰、形式多样实用。通过核心要点梳理、背景深度解析、流程图示化、实操案例分析、问题分类解答，全面提升培训材料的时效性和易用性，助力本地DIP政策的高效落地与实施。</w:t>
            </w:r>
          </w:p>
          <w:p w14:paraId="1596B402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42" w:leftChars="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0" w:name="_Toc187765950"/>
            <w:bookmarkStart w:id="11" w:name="_Toc181797904"/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三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DIP核心管理服务</w:t>
            </w:r>
            <w:bookmarkEnd w:id="10"/>
            <w:bookmarkEnd w:id="11"/>
          </w:p>
          <w:p w14:paraId="3EE9E13A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包括但不限于DIP数据管理服务，病种目录管理服务，总额预算管理服务，支付结算服务（包括月度结算、开展特病单议、协助开展考核评价、协助开展病例抽查、年度清算服务、年度清算大会），省平台系统政策配置服务等。</w:t>
            </w:r>
          </w:p>
          <w:p w14:paraId="3BA02EAB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2" w:name="_Toc187765951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DIP数据管理服务</w:t>
            </w:r>
            <w:bookmarkEnd w:id="12"/>
          </w:p>
          <w:p w14:paraId="0868AFAC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依据国家2.0技术规范及最新病种目录库，推进病种升级工作。全面收集历史数据，用于构建本地化的DIP病种目录库及分值表；严格进行数据清洗，筛选出高质量的有效历史数据，确保目录库和分值表的科学性与准确性，为病种升级提供坚实的数据支撑。主要包含以下服务内容：</w:t>
            </w:r>
          </w:p>
          <w:p w14:paraId="7A6467EE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（1）收集本地区住院历史相关数据，包括医保结算清单数据、医保结算数据、DIP入组及支付数据，对源数据进行归集、管理。</w:t>
            </w:r>
          </w:p>
          <w:p w14:paraId="099BD3E0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（2）根据DIP测算的需求对源数据进行清洗、质控。</w:t>
            </w:r>
          </w:p>
          <w:p w14:paraId="6DD52F0C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（3）将清洗质控的结果反馈给医疗机构，医疗机构调整后再重新收集。与医疗机构之间形成有效的数据治理机制。</w:t>
            </w:r>
          </w:p>
          <w:p w14:paraId="31A324DF">
            <w:pPr>
              <w:pStyle w:val="8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Chars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 w:bidi="ar-SA"/>
              </w:rPr>
              <w:t>（4）收集历史数据用于建立本地DIP病种目录库、分值表；通过数据清洗，筛选有效历史数据，以保证目录库和分值表的科学性和准确性。</w:t>
            </w:r>
          </w:p>
          <w:p w14:paraId="3BAF0E72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3" w:name="_Toc187765952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病种目录管理服务</w:t>
            </w:r>
            <w:bookmarkEnd w:id="13"/>
          </w:p>
          <w:p w14:paraId="4B9391C2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本地目录完善，与国家2.0目录适配。将韶关目录与国家2.0目录进行对照适配，适配结果结合本地数据验算、核心专家组论证、机构系数及政策验证、征求意见等阶段，确保按国家要求对2025年病种目录库进行平稳升级。</w:t>
            </w:r>
          </w:p>
          <w:p w14:paraId="0B2F4618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DIP病种目录是DIP付费的核心中的核心，对目录的管理可以保证目录的科学性、准确性，以及DIP付费的准确性。并且目录库的合理可以减少医疗机构的申诉及抱怨。主要包含以下服务内容：</w:t>
            </w:r>
          </w:p>
          <w:p w14:paraId="4C25E67D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（1）根据国家DIP技术规范和2.0目录调整和优化本地主目录；</w:t>
            </w:r>
          </w:p>
          <w:p w14:paraId="2EFF75E1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（2）按照技术规范建立辅助目录；</w:t>
            </w:r>
          </w:p>
          <w:p w14:paraId="0D3C7A97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（3）建立特殊病种目录；</w:t>
            </w:r>
          </w:p>
          <w:p w14:paraId="2C7E579C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（4）病种目录管理应用；</w:t>
            </w:r>
          </w:p>
          <w:p w14:paraId="6722D095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（5）病种目录论证服务。</w:t>
            </w:r>
          </w:p>
          <w:p w14:paraId="35B858FC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调整和优化本地主目录</w:t>
            </w:r>
          </w:p>
          <w:p w14:paraId="6B5ED474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依据国家按病种分值（DIP）付费病种库2.0版分组标准，全面启动本地主目录的调整和优化工作。通过细致比对和分析，确保本地目录与国家2.0版分组标准高度契合，重点优化病种分类、分值设定和支付规则，提升目录的科学性和适用性。制定详细的实施计划和时间表，加快2.0版分组的落地进程，通过多渠道培训和宣传，提升医务人员和医保管理人员对新目录的认知和执行能力，确保新目录顺利实施，推动本地DIP付费改革高效推进。</w:t>
            </w:r>
          </w:p>
          <w:p w14:paraId="27EF746C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同时随着DIP支付方式改革的开展，各定点医疗机构理解程度的不断深入，以及医疗技术的不断创新，这就要求DIP病种也应进行不断更新，不断向着精细化程度发展。</w:t>
            </w:r>
          </w:p>
          <w:p w14:paraId="5ABD0C39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建立辅助目录</w:t>
            </w:r>
          </w:p>
          <w:p w14:paraId="07448D42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辅助目录是建立在DIP病种目录基础之上反映疾病严重程度，用于实现DIP支付方式改革的精细化支付。随着DIP病种目录的不断调整及各年度病例的不断变化，要求辅助目录也应进行更精细化的管理。</w:t>
            </w:r>
          </w:p>
          <w:p w14:paraId="4FEEC5BE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建立特殊病种目录</w:t>
            </w:r>
          </w:p>
          <w:p w14:paraId="0FD4511C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构建特殊病种目录，全面梳理和筛选本地区发病率高、治疗费用大、病情复杂的特殊病种。通过深入分析历史医疗数据和专家论证，明确纳入目录的病种标准，确保目录的科学性和实用性。同时，建立动态调整机制，根据临床实践和政策变化，定期更新和完善目录内容，确保其与实际需求保持高度一致。此外，加强与医疗机构的沟通协作，广泛征集意见和建议，确保目录的制定过程公开透明，提升目录的认可度和执行效力，为特殊病种的精准管理和医保支付提供有力支撑。</w:t>
            </w:r>
          </w:p>
          <w:p w14:paraId="0EE5A09D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病种目录管理应用</w:t>
            </w:r>
          </w:p>
          <w:p w14:paraId="6530F14B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提供病种目录的日常维护与更新，确保其准确性和时效性。指导医疗机构正确应用目录，组织相关培训，提升医务人员应用能力，同时收集问题反馈，推动目录优化。监测分析目录使用情况，为政策调整和修订提供数据支持，确保病种管理的规范化和高效性。</w:t>
            </w:r>
          </w:p>
          <w:p w14:paraId="37B4D362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病种目录论证服务</w:t>
            </w:r>
          </w:p>
          <w:p w14:paraId="78101103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医保局对调整后的病种目录及分值进行论证，包括拟定会议方案、论证数据准备、论证培训、专家论证、争议处理、结果汇总、汇报结果、质疑答复及论证分析总结等，提高与医院协商的效率，加快推进DIP支付方式改革的落实和调整。</w:t>
            </w:r>
          </w:p>
          <w:p w14:paraId="2B7666D5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4" w:name="_Toc187765953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总额预算管理服务</w:t>
            </w:r>
            <w:bookmarkEnd w:id="14"/>
          </w:p>
          <w:p w14:paraId="0ABA07DD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DIP付费的大前提是在“总额预算”机制下，做好总额预算是保障DIP付费的重要前提。确保医保基金不穿底。确保支付改革的安全性。</w:t>
            </w:r>
          </w:p>
          <w:p w14:paraId="56EC8F58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协助医保确定医保基金预算总额；</w:t>
            </w:r>
          </w:p>
          <w:p w14:paraId="3A4D4F5E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协助确定年度医保基金结算总额；</w:t>
            </w:r>
          </w:p>
          <w:p w14:paraId="5F88E596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应用预算结果。</w:t>
            </w:r>
          </w:p>
          <w:p w14:paraId="1E1CA2F0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249" w:firstLineChars="119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医保基金预算总额确定</w:t>
            </w:r>
          </w:p>
          <w:p w14:paraId="60A1BF8B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医保管理部门科学合理地确定医保基金预算总额，通过收集和分析相关医疗数据、历史结算信息及政策变动情况，确保预算编制符合政策要求，满足实际需求。与医疗机构、财政部门等多方协调，参与预算方案的审核，提供专业意见，确保预算总额的合理性和可行性。</w:t>
            </w:r>
          </w:p>
          <w:p w14:paraId="29C108C2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年度医保基金结算总额确定</w:t>
            </w:r>
          </w:p>
          <w:p w14:paraId="4329B19B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医保管理部门准确核算全年医保基金使用情况，编制年度结算总额方案。分析实际结算与预算之间的偏差，找出原因并提出改进措施。确保结算过程合规，撰写年度结算报告，总结结算情况，为下一年度预算编制提供重要参考。</w:t>
            </w:r>
          </w:p>
          <w:p w14:paraId="6A2D52B5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应用预算结果</w:t>
            </w:r>
          </w:p>
          <w:p w14:paraId="68AE4F33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将预算结果应用于医保基金管理和决策中，为政策制定和调整提供数据支持。利用预算结果进行医疗机构和医保服务的绩效评价，优化资源配置，提升服务质量和效率。定期公开预算执行情况，增强管理透明度，总结应用经验，提出改进建议，推动医保管理水平不断提升。</w:t>
            </w:r>
          </w:p>
          <w:p w14:paraId="29D18E17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5" w:name="_Toc187765954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支付结算服务</w:t>
            </w:r>
            <w:bookmarkEnd w:id="15"/>
          </w:p>
          <w:p w14:paraId="482F0B15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支付结算是按DIP付费的重要经办工作，保证按DIP付费实际拨付金额的准确性、科学性。服务的重要内容就是年终清算的关键任务。</w:t>
            </w:r>
          </w:p>
          <w:p w14:paraId="49E20041">
            <w:pPr>
              <w:pStyle w:val="8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DIP月度结算服务；</w:t>
            </w:r>
          </w:p>
          <w:p w14:paraId="2C7D2094">
            <w:pPr>
              <w:pStyle w:val="8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DIP季度模拟支付服务；</w:t>
            </w:r>
          </w:p>
          <w:p w14:paraId="0880364F">
            <w:pPr>
              <w:pStyle w:val="8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开展特例单议工作；</w:t>
            </w:r>
          </w:p>
          <w:p w14:paraId="4F9D4757">
            <w:pPr>
              <w:pStyle w:val="8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协助开展考核评价工作；</w:t>
            </w:r>
          </w:p>
          <w:p w14:paraId="1118D4EF">
            <w:pPr>
              <w:pStyle w:val="8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DIP年度清算服务；</w:t>
            </w:r>
          </w:p>
          <w:p w14:paraId="30278423">
            <w:pPr>
              <w:pStyle w:val="8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line="360" w:lineRule="auto"/>
              <w:ind w:left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协助开展年度清算大会。</w:t>
            </w:r>
          </w:p>
          <w:p w14:paraId="33D44A47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4.1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月度结算服务</w:t>
            </w:r>
          </w:p>
          <w:p w14:paraId="7796D9DF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负责提供服务期内的DIP（按病种分值付费）月度结算服务，包括收集和审核医疗机构提交的月度结算数据，确保数据的准确性和完整性。通过系统化的结算流程，及时完成月度医保费用的核算和支付，保障医疗机构的正常运行和医保基金的合理使用。同时，对结算过程中发现的问题进行记录和分析，提出改进建议，优化结算流程。</w:t>
            </w:r>
          </w:p>
          <w:p w14:paraId="73455AE4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4.2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季度模拟支付服务</w:t>
            </w:r>
          </w:p>
          <w:p w14:paraId="6FCAA7B7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提供服务期内的DIP季度模拟支付服务，基于历史数据和当前政策，模拟预测季度内医保费用的支付情况。通过模拟支付，帮助医保管理部门和医疗机构提前预判资金需求，优化资金配置。同时，分析模拟支付结果与实际支付情况的差异，为政策调整和预算管理提供数据支持，确保医保基金的平稳运行。</w:t>
            </w:r>
          </w:p>
          <w:p w14:paraId="05F7AEFD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4.3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特例单议工作</w:t>
            </w:r>
          </w:p>
          <w:p w14:paraId="18DF35E5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为医保局开展特例单议工作提供数据支撑，针对特殊病例或复杂情况，进行单独审核和议价。协助医保局组织医疗机构临床科室、病案管理人员、医保管理人员等专业人员形成评审专家组，确保医保支付的合理性和公平性。同时，记录特例单议的过程和结果，形成案例库，为后续类似情况的处理提供参考，提升医保管理的科学性和透明度。</w:t>
            </w:r>
          </w:p>
          <w:p w14:paraId="78E59008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4.4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考核评价工作</w:t>
            </w:r>
          </w:p>
          <w:p w14:paraId="17E54C29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开展对医疗机构和医保服务的考核评价工作，以数据作为考核评价基础，定期对医疗机构的医疗服务质量、医保基金使用情况等进行全面评估。通过考核评价，发现存在的问题，提出改进建议，促进医疗机构提升服务水平和医保基金使用的规范性。同时，汇总和分析考核评价结果，为医保政策的制定和调整提供依据。</w:t>
            </w:r>
          </w:p>
          <w:p w14:paraId="0B72B07D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70" w:leftChars="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4.5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年度清算服务</w:t>
            </w:r>
          </w:p>
          <w:p w14:paraId="328C71B0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提供2025年的DIP年度清算服务，负责对全年医保费用进行汇总和清算，确保年度结算的准确性和完整性。通过对全年数据的全面审核和分析，发现和纠正结算中的偏差，确保医保基金的安全和合理使用。同时，编制年度清算报告，总结年度医保基金使用情况，为下一年度的预算编制和政策调整提供数据支持。</w:t>
            </w:r>
          </w:p>
          <w:p w14:paraId="3836EDF2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同时，在韶关医保开展2024年度清算工作时，提供辅助支持工作，协助医保处理2024年的清算结算数据。</w:t>
            </w:r>
          </w:p>
          <w:p w14:paraId="396608DA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firstLine="630" w:firstLineChars="3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4.6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年度清算大会</w:t>
            </w:r>
          </w:p>
          <w:p w14:paraId="34F8DEAB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组织年度清算大会。邀请医保管理部门、医疗机构代表和相关专家参会，总结年度医保基金使用情况，分析存在的问题，提出改进建议。通过大会的平台，促进各方沟通交流，增强医保管理的透明度和公信力。</w:t>
            </w:r>
          </w:p>
          <w:p w14:paraId="715EB81B"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210" w:firstLineChars="1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6" w:name="_Toc187765955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省平台配套服务</w:t>
            </w:r>
            <w:bookmarkEnd w:id="16"/>
          </w:p>
          <w:p w14:paraId="39D497E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响应省级对省统一DIP平台使用的相关要求，基于服务测算成果，实现省平台DIP功能模块的配置与使用。</w:t>
            </w:r>
          </w:p>
          <w:p w14:paraId="49386D8F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在国家DIP/DRG功能模块中完成DIP相关住院数据上传、质控、方案参数配置、分组、拨付等全流程服务；</w:t>
            </w:r>
          </w:p>
          <w:p w14:paraId="19B8894E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将DIP付费结果与国家DIP/DRG功能模块计算出来的结果进行比对分析并出具分析报告，确保平稳过渡。</w:t>
            </w:r>
          </w:p>
          <w:p w14:paraId="53B0FE34">
            <w:pPr>
              <w:pStyle w:val="9"/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420" w:firstLineChars="200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定期梳理本地DIP付费的功能需求，对无法在国家DIP/DRG功能模块中实现的功能，形成本地需求表，由医保局反馈给省医保局，不断优化本地服务。</w:t>
            </w:r>
          </w:p>
          <w:p w14:paraId="3C4443CF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42" w:leftChars="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7" w:name="_Toc187765956"/>
            <w:bookmarkStart w:id="18" w:name="_Toc181797905"/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四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沟通协商服务</w:t>
            </w:r>
            <w:bookmarkEnd w:id="17"/>
            <w:bookmarkEnd w:id="18"/>
          </w:p>
          <w:p w14:paraId="6C5A0A99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协助医保局培养本地专家团队，包括医保、临床、医务、统计、信息、病案、财务等领域的专家，确保DIP付费工作开展的专业性。参与制定本地DIP的实施政策、路径和规范，并对运行情况进行评估，提出改进性意见和建议。</w:t>
            </w:r>
          </w:p>
          <w:p w14:paraId="2ADDC9A3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可帮助本地建设、培养自己的DIP专家队伍，确保后续DIP付费工作开展的专业性。让医疗机构委派相关人员组建专家组可以有效的利用当地专家资源，赋能支付方式改革。同时，借鉴各地实施经验，不断优化团队建设。</w:t>
            </w:r>
          </w:p>
          <w:p w14:paraId="356550A8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="142" w:leftChars="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19" w:name="_Toc181797906"/>
            <w:bookmarkStart w:id="20" w:name="_Toc187765957"/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五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其他支撑服务</w:t>
            </w:r>
            <w:bookmarkEnd w:id="19"/>
            <w:bookmarkEnd w:id="20"/>
          </w:p>
          <w:p w14:paraId="30549D7A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咨询工作，按季度提供分析报告/评估方案，合同期内安排1名熟悉业务的工程师常驻本地开展工作，包括但不限于论证会时，增加相关专业人员协助工作。</w:t>
            </w:r>
          </w:p>
          <w:p w14:paraId="2320948F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21" w:name="_Toc187765958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咨询工作</w:t>
            </w:r>
            <w:bookmarkEnd w:id="21"/>
          </w:p>
          <w:p w14:paraId="30BC4963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为本地区经办部门、医疗机构日常提出的问题进行解答，解决改革期间医疗机构的各种不懂、不会、存疑、不明等问题。</w:t>
            </w:r>
          </w:p>
          <w:p w14:paraId="707D8A22">
            <w:pPr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bidi w:val="0"/>
              <w:spacing w:before="0" w:after="0" w:line="360" w:lineRule="auto"/>
              <w:ind w:leftChars="30" w:firstLine="420" w:firstLineChars="20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bookmarkStart w:id="22" w:name="_Toc187765959"/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2.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分析报告/评估方案</w:t>
            </w:r>
            <w:bookmarkEnd w:id="22"/>
          </w:p>
          <w:p w14:paraId="09B9B77A">
            <w:pPr>
              <w:pageBreakBefore w:val="0"/>
              <w:kinsoku/>
              <w:wordWrap/>
              <w:overflowPunct/>
              <w:topLinePunct w:val="0"/>
              <w:bidi w:val="0"/>
              <w:spacing w:line="360" w:lineRule="auto"/>
              <w:ind w:firstLine="480"/>
              <w:outlineLvl w:val="9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完成下一年度的DIP疾病病种分值表及基金结算调整工作、对DIP改革运行重要指标统计并分析，提出对应解决办法。通过对改革进行运行评价分析，建立动态调整机制，不断完善优化改革内容，确保改革工作平稳运行。</w:t>
            </w:r>
          </w:p>
          <w:p w14:paraId="34FB23B2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</w:p>
        </w:tc>
      </w:tr>
      <w:tr w14:paraId="6EAD7AE2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7" w:hRule="atLeas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3EE22BF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服务期</w:t>
            </w:r>
          </w:p>
        </w:tc>
        <w:tc>
          <w:tcPr>
            <w:tcW w:w="7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6A645AF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val="en-US" w:eastAsia="zh-CN"/>
              </w:rPr>
              <w:t>自合同签订之日起1年</w:t>
            </w:r>
          </w:p>
        </w:tc>
      </w:tr>
      <w:tr w14:paraId="1AA0F057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7" w:hRule="atLeas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E84538D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项目实施地点</w:t>
            </w:r>
          </w:p>
        </w:tc>
        <w:tc>
          <w:tcPr>
            <w:tcW w:w="7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25F0AC3F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bookmarkStart w:id="23" w:name="OLE_LINK6"/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eastAsia="zh-CN"/>
              </w:rPr>
              <w:t>韶关市医疗保障局</w:t>
            </w:r>
            <w:bookmarkEnd w:id="23"/>
          </w:p>
        </w:tc>
      </w:tr>
      <w:tr w14:paraId="371178C9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6" w:hRule="atLeast"/>
        </w:trPr>
        <w:tc>
          <w:tcPr>
            <w:tcW w:w="11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1D7C96D0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  <w:t>服务</w:t>
            </w:r>
          </w:p>
          <w:p w14:paraId="7618CC46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val="en-US" w:eastAsia="zh-CN"/>
              </w:rPr>
              <w:t>功能</w:t>
            </w:r>
          </w:p>
        </w:tc>
        <w:tc>
          <w:tcPr>
            <w:tcW w:w="75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 w14:paraId="48512AD3"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360" w:lineRule="atLeast"/>
              <w:ind w:left="0" w:right="0" w:firstLine="0"/>
              <w:jc w:val="left"/>
              <w:textAlignment w:val="auto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val="en-US" w:eastAsia="zh-CN"/>
              </w:rPr>
              <w:t>报价单位按实际填写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30"/>
                <w:sz w:val="24"/>
                <w:szCs w:val="24"/>
                <w:lang w:eastAsia="zh-CN"/>
              </w:rPr>
              <w:t>）</w:t>
            </w:r>
          </w:p>
        </w:tc>
      </w:tr>
    </w:tbl>
    <w:p w14:paraId="5D022A0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577AD41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00451D4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71D36EA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5BCF687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5FC09DA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1A3BBD4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6616E1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1881819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08F9211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76ED61E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0CAAEBA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6230543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5CBF44F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1F9A32B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3019EDB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15" w:lineRule="atLeast"/>
        <w:ind w:left="0" w:right="0" w:firstLine="0"/>
        <w:jc w:val="both"/>
        <w:rPr>
          <w:rStyle w:val="7"/>
          <w:rFonts w:hint="eastAsia" w:ascii="宋体" w:hAnsi="宋体" w:eastAsia="宋体" w:cs="宋体"/>
          <w:i w:val="0"/>
          <w:iCs w:val="0"/>
          <w:caps w:val="0"/>
          <w:color w:val="666666"/>
          <w:spacing w:val="0"/>
          <w:sz w:val="21"/>
          <w:szCs w:val="21"/>
          <w:shd w:val="clear" w:fill="FFFFFF"/>
        </w:rPr>
      </w:pPr>
    </w:p>
    <w:p w14:paraId="6B2C4E5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附件2：法定代表人（或非法人组织负责人）身份证明书</w:t>
      </w:r>
    </w:p>
    <w:p w14:paraId="554946D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32077D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96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姓名：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，性别：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，出生日期：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，现任职务：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，系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（报价单位名称）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的法定代表人（或非法人组织负责人）。</w:t>
      </w:r>
    </w:p>
    <w:p w14:paraId="0178DA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           </w:t>
      </w:r>
    </w:p>
    <w:p w14:paraId="56ED100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特此证明。</w:t>
      </w:r>
    </w:p>
    <w:p w14:paraId="725B9B3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3528121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tbl>
      <w:tblPr>
        <w:tblStyle w:val="5"/>
        <w:tblW w:w="820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200"/>
      </w:tblGrid>
      <w:tr w14:paraId="284D88C6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80" w:hRule="atLeast"/>
        </w:trPr>
        <w:tc>
          <w:tcPr>
            <w:tcW w:w="820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6282DBB2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both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（※法定代表人（或非法人组织负责人）身份证正、反面复印件※）</w:t>
            </w:r>
          </w:p>
        </w:tc>
      </w:tr>
    </w:tbl>
    <w:p w14:paraId="2F9E7CE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77FF29E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2E11877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报价单位名称（加盖公章）：</w:t>
      </w:r>
    </w:p>
    <w:p w14:paraId="0222E4D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   月   日                   </w:t>
      </w:r>
    </w:p>
    <w:p w14:paraId="3737E38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23699F9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1EC0598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2ECB244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1D05D38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2288885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71645C1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3542EF5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5D18A67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2ACBC091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73F6DF2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附件3：法定代表人（或非法人组织负责人）授权委托书</w:t>
      </w:r>
    </w:p>
    <w:p w14:paraId="10E75D9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146A082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2C59E81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委托人名称：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（报价单位名称）      </w:t>
      </w:r>
    </w:p>
    <w:p w14:paraId="0C81019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法定代表人（或非法人组织负责人）姓名：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17A650A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身份证号码：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 </w:t>
      </w:r>
    </w:p>
    <w:p w14:paraId="6FE60DD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住所地：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 </w:t>
      </w:r>
    </w:p>
    <w:p w14:paraId="3EE58FD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受托人名称：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（委托授权代表姓名）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      </w:t>
      </w:r>
    </w:p>
    <w:p w14:paraId="69585EE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身份证号码：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 </w:t>
      </w:r>
    </w:p>
    <w:p w14:paraId="52D38C5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住址：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                    </w:t>
      </w:r>
    </w:p>
    <w:p w14:paraId="56487EB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电话：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    </w:t>
      </w:r>
    </w:p>
    <w:p w14:paraId="1E176856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现委托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（委托授权代表姓名）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在委托人就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（车辆及配套设备采购项目）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询价中，以我单位名义处理一切与之有关的事务。</w:t>
      </w:r>
    </w:p>
    <w:p w14:paraId="4B0599ED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本授权书于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 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日签字或盖章生效,</w:t>
      </w: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无转委托，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特此声明。</w:t>
      </w:r>
    </w:p>
    <w:p w14:paraId="5F8463D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tbl>
      <w:tblPr>
        <w:tblStyle w:val="5"/>
        <w:tblW w:w="8380" w:type="dxa"/>
        <w:tblInd w:w="0" w:type="dxa"/>
        <w:tblBorders>
          <w:top w:val="single" w:color="666666" w:sz="6" w:space="0"/>
          <w:left w:val="single" w:color="666666" w:sz="6" w:space="0"/>
          <w:bottom w:val="single" w:color="666666" w:sz="6" w:space="0"/>
          <w:right w:val="single" w:color="666666" w:sz="6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380"/>
      </w:tblGrid>
      <w:tr w14:paraId="66F08312">
        <w:tblPrEx>
          <w:tblBorders>
            <w:top w:val="single" w:color="666666" w:sz="6" w:space="0"/>
            <w:left w:val="single" w:color="666666" w:sz="6" w:space="0"/>
            <w:bottom w:val="single" w:color="666666" w:sz="6" w:space="0"/>
            <w:right w:val="single" w:color="666666" w:sz="6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55" w:hRule="atLeast"/>
        </w:trPr>
        <w:tc>
          <w:tcPr>
            <w:tcW w:w="838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 w14:paraId="3B17DF81">
            <w:pPr>
              <w:pStyle w:val="4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  <w:rPr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auto"/>
                <w:spacing w:val="0"/>
                <w:sz w:val="24"/>
                <w:szCs w:val="24"/>
              </w:rPr>
              <w:t>（※授权委托人身份证正、反面复印件※）</w:t>
            </w:r>
          </w:p>
        </w:tc>
      </w:tr>
    </w:tbl>
    <w:p w14:paraId="3649EEF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6994A053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委托人（单位公章）：</w:t>
      </w:r>
    </w:p>
    <w:p w14:paraId="079F187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法定代表人（或非法人组织负责人）（签字或盖章）：       </w:t>
      </w:r>
    </w:p>
    <w:p w14:paraId="56E00797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受托人（签字或盖章）：</w:t>
      </w:r>
    </w:p>
    <w:p w14:paraId="2741F33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43292072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3CDCCA6B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</w:pPr>
    </w:p>
    <w:p w14:paraId="08051C1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附件4：资格条件承诺函</w:t>
      </w:r>
    </w:p>
    <w:p w14:paraId="1CBFE10F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7748788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Style w:val="7"/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资格条件承诺函</w:t>
      </w:r>
    </w:p>
    <w:p w14:paraId="4751A90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1301F605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我方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u w:val="single"/>
          <w:shd w:val="clear" w:fill="FFFFFF"/>
        </w:rPr>
        <w:t> （报价单位名称） </w:t>
      </w: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符合《中华人民共和国政府采购法》第二十二条第一款第（二）项、第（三）项、第（四）项、第（五）项规定条件，具体包括：</w:t>
      </w:r>
    </w:p>
    <w:p w14:paraId="403EEFA8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1.具有良好的商业信誉和健全的财务会计制度；</w:t>
      </w:r>
    </w:p>
    <w:p w14:paraId="1AA49B0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2.具有履行合同所必需的设备和专业技术能力；</w:t>
      </w:r>
    </w:p>
    <w:p w14:paraId="1AAFA199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3.具有依法缴纳税收和社会保障资金的良好记录；</w:t>
      </w:r>
    </w:p>
    <w:p w14:paraId="250E93C4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4.参加政府采购活动前三年内，在经营活动中没有重大违法记录。</w:t>
      </w:r>
    </w:p>
    <w:p w14:paraId="001191AA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我方对上述承诺的真实性负责，在询价环节结束后，自愿接受采购单位（采购代理机构）的检查核验，配合提供相关证明材料，证明符合《中华人民共和国政府采购法》规定的供应商基本资格条件。如有虚假，将依法承担相应法律责任。</w:t>
      </w:r>
    </w:p>
    <w:p w14:paraId="4EDA42B0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48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特此承诺。</w:t>
      </w:r>
    </w:p>
    <w:p w14:paraId="60CA11D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 </w:t>
      </w:r>
    </w:p>
    <w:p w14:paraId="321E51DC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报价单位名称（加盖公章）：</w:t>
      </w:r>
    </w:p>
    <w:p w14:paraId="1361D4DE">
      <w:pPr>
        <w:pStyle w:val="4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360" w:lineRule="auto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auto"/>
          <w:spacing w:val="0"/>
          <w:sz w:val="24"/>
          <w:szCs w:val="24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auto"/>
          <w:spacing w:val="0"/>
          <w:sz w:val="24"/>
          <w:szCs w:val="24"/>
          <w:shd w:val="clear" w:fill="FFFFFF"/>
        </w:rPr>
        <w:t>年   月   日</w:t>
      </w:r>
    </w:p>
    <w:p w14:paraId="1DE154E5"/>
    <w:sectPr>
      <w:footerReference r:id="rId3" w:type="default"/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023FA69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513FB8FA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513FB8FA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0D6341"/>
    <w:multiLevelType w:val="multilevel"/>
    <w:tmpl w:val="320D6341"/>
    <w:lvl w:ilvl="0" w:tentative="0">
      <w:start w:val="1"/>
      <w:numFmt w:val="bullet"/>
      <w:pStyle w:val="8"/>
      <w:lvlText w:val=""/>
      <w:lvlJc w:val="left"/>
      <w:pPr>
        <w:ind w:left="640" w:hanging="44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C6A6EEE"/>
    <w:rsid w:val="532B2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paragraph" w:customStyle="1" w:styleId="8">
    <w:name w:val="样式3"/>
    <w:qFormat/>
    <w:uiPriority w:val="0"/>
    <w:pPr>
      <w:numPr>
        <w:ilvl w:val="0"/>
        <w:numId w:val="1"/>
      </w:numPr>
      <w:spacing w:line="360" w:lineRule="auto"/>
      <w:ind w:left="0" w:firstLine="200" w:firstLineChars="200"/>
    </w:pPr>
    <w:rPr>
      <w:rFonts w:ascii="Times New Roman" w:hAnsi="Times New Roman" w:eastAsia="宋体" w:cs="Times New Roman"/>
      <w:kern w:val="2"/>
      <w:sz w:val="24"/>
      <w:szCs w:val="22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2025-01-20T02:37:03Z</dcterms:created>
  <dc:creator>GAME</dc:creator>
  <cp:lastModifiedBy>Daishaoc</cp:lastModifiedBy>
  <dcterms:modified xsi:type="dcterms:W3CDTF">2025-01-20T02:39:17Z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eyJoZGlkIjoiZWU4ZTUyZDYxNGNiZDcwOGJkZDAxMTU2ODg0NDk3MmUiLCJ1c2VySWQiOiI2NTU3NzExNTAifQ==</vt:lpwstr>
  </property>
  <property fmtid="{D5CDD505-2E9C-101B-9397-08002B2CF9AE}" pid="4" name="ICV">
    <vt:lpwstr>E0D64E94712845F6863AC3D3BB90B2A9_12</vt:lpwstr>
  </property>
</Properties>
</file>